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24" w:rsidRPr="0080667A" w:rsidRDefault="00834B24" w:rsidP="000B396B">
      <w:pPr>
        <w:ind w:firstLine="567"/>
        <w:jc w:val="both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 xml:space="preserve">Повідомляємо, що чергові загальні збори акціонерів </w:t>
      </w:r>
      <w:r w:rsidR="000C0FE8" w:rsidRPr="0080667A">
        <w:rPr>
          <w:sz w:val="21"/>
          <w:szCs w:val="21"/>
          <w:lang w:val="uk-UA"/>
        </w:rPr>
        <w:t xml:space="preserve">ПРИВАТНОГО АКЦІОНЕРНОГО ТОВАРИСТВА </w:t>
      </w:r>
      <w:r w:rsidRPr="0080667A">
        <w:rPr>
          <w:sz w:val="21"/>
          <w:szCs w:val="21"/>
          <w:lang w:val="uk-UA"/>
        </w:rPr>
        <w:t xml:space="preserve"> «</w:t>
      </w:r>
      <w:r w:rsidR="00F56D63" w:rsidRPr="0080667A">
        <w:rPr>
          <w:sz w:val="21"/>
          <w:szCs w:val="21"/>
          <w:lang w:val="uk-UA"/>
        </w:rPr>
        <w:t>БУДІВЕЛЬНИЙ ТОРГОВИЙ БУДИНОК»</w:t>
      </w:r>
      <w:r w:rsidR="00F85004">
        <w:rPr>
          <w:sz w:val="21"/>
          <w:szCs w:val="21"/>
          <w:lang w:val="uk-UA"/>
        </w:rPr>
        <w:t xml:space="preserve"> </w:t>
      </w:r>
      <w:r w:rsidR="0091324D" w:rsidRPr="0080667A">
        <w:rPr>
          <w:sz w:val="21"/>
          <w:szCs w:val="21"/>
          <w:lang w:val="uk-UA"/>
        </w:rPr>
        <w:t>(код ЄДРПОУ 23916532)</w:t>
      </w:r>
      <w:r w:rsidRPr="0080667A">
        <w:rPr>
          <w:sz w:val="21"/>
          <w:szCs w:val="21"/>
          <w:lang w:val="uk-UA"/>
        </w:rPr>
        <w:t xml:space="preserve"> відбудуться </w:t>
      </w:r>
      <w:r w:rsidR="00A86B57" w:rsidRPr="0080667A">
        <w:rPr>
          <w:sz w:val="21"/>
          <w:szCs w:val="21"/>
          <w:lang w:val="uk-UA"/>
        </w:rPr>
        <w:t>2</w:t>
      </w:r>
      <w:r w:rsidR="007E57AC" w:rsidRPr="0080667A">
        <w:rPr>
          <w:sz w:val="21"/>
          <w:szCs w:val="21"/>
          <w:lang w:val="uk-UA"/>
        </w:rPr>
        <w:t>6</w:t>
      </w:r>
      <w:r w:rsidR="00F56D63" w:rsidRPr="0080667A">
        <w:rPr>
          <w:sz w:val="21"/>
          <w:szCs w:val="21"/>
          <w:lang w:val="uk-UA"/>
        </w:rPr>
        <w:t>.04.201</w:t>
      </w:r>
      <w:r w:rsidR="00D765AA">
        <w:rPr>
          <w:sz w:val="21"/>
          <w:szCs w:val="21"/>
          <w:lang w:val="uk-UA"/>
        </w:rPr>
        <w:t>7</w:t>
      </w:r>
      <w:r w:rsidR="000C0FE8" w:rsidRPr="0080667A">
        <w:rPr>
          <w:sz w:val="21"/>
          <w:szCs w:val="21"/>
          <w:lang w:val="uk-UA"/>
        </w:rPr>
        <w:t xml:space="preserve"> </w:t>
      </w:r>
      <w:r w:rsidR="00F56D63" w:rsidRPr="0080667A">
        <w:rPr>
          <w:sz w:val="21"/>
          <w:szCs w:val="21"/>
          <w:lang w:val="uk-UA"/>
        </w:rPr>
        <w:t>року</w:t>
      </w:r>
      <w:r w:rsidR="00212A74" w:rsidRPr="0080667A">
        <w:rPr>
          <w:sz w:val="21"/>
          <w:szCs w:val="21"/>
          <w:lang w:val="uk-UA"/>
        </w:rPr>
        <w:t xml:space="preserve"> о 11</w:t>
      </w:r>
      <w:r w:rsidR="006F4AB7" w:rsidRPr="0080667A">
        <w:rPr>
          <w:sz w:val="21"/>
          <w:szCs w:val="21"/>
          <w:lang w:val="uk-UA"/>
        </w:rPr>
        <w:t xml:space="preserve">-00 за </w:t>
      </w:r>
      <w:r w:rsidR="00895FA8" w:rsidRPr="00C27D3B">
        <w:rPr>
          <w:sz w:val="21"/>
          <w:szCs w:val="21"/>
          <w:lang w:val="uk-UA"/>
        </w:rPr>
        <w:t>місцезнаходженням</w:t>
      </w:r>
      <w:r w:rsidR="006F4AB7" w:rsidRPr="00C27D3B">
        <w:rPr>
          <w:sz w:val="21"/>
          <w:szCs w:val="21"/>
          <w:lang w:val="uk-UA"/>
        </w:rPr>
        <w:t>:</w:t>
      </w:r>
      <w:r w:rsidR="006F4AB7" w:rsidRPr="0080667A">
        <w:rPr>
          <w:sz w:val="21"/>
          <w:szCs w:val="21"/>
          <w:lang w:val="uk-UA"/>
        </w:rPr>
        <w:t xml:space="preserve"> м</w:t>
      </w:r>
      <w:r w:rsidR="000C0FE8" w:rsidRPr="0080667A">
        <w:rPr>
          <w:sz w:val="21"/>
          <w:szCs w:val="21"/>
          <w:lang w:val="uk-UA"/>
        </w:rPr>
        <w:t xml:space="preserve">. </w:t>
      </w:r>
      <w:r w:rsidR="006F4AB7" w:rsidRPr="0080667A">
        <w:rPr>
          <w:sz w:val="21"/>
          <w:szCs w:val="21"/>
          <w:lang w:val="uk-UA"/>
        </w:rPr>
        <w:t xml:space="preserve">Харків, </w:t>
      </w:r>
      <w:r w:rsidR="00A86B57" w:rsidRPr="0080667A">
        <w:rPr>
          <w:sz w:val="21"/>
          <w:szCs w:val="21"/>
          <w:lang w:val="uk-UA"/>
        </w:rPr>
        <w:t xml:space="preserve">вул. Другої  П’ятирічки </w:t>
      </w:r>
      <w:r w:rsidR="00267F13" w:rsidRPr="0080667A">
        <w:rPr>
          <w:sz w:val="21"/>
          <w:szCs w:val="21"/>
          <w:lang w:val="uk-UA"/>
        </w:rPr>
        <w:t xml:space="preserve">(нова назва вул. Біблика) </w:t>
      </w:r>
      <w:r w:rsidR="00A86B57" w:rsidRPr="0080667A">
        <w:rPr>
          <w:sz w:val="21"/>
          <w:szCs w:val="21"/>
          <w:lang w:val="uk-UA"/>
        </w:rPr>
        <w:t>буд. 18</w:t>
      </w:r>
      <w:r w:rsidR="00F85004">
        <w:rPr>
          <w:sz w:val="21"/>
          <w:szCs w:val="21"/>
          <w:lang w:val="uk-UA"/>
        </w:rPr>
        <w:t>,</w:t>
      </w:r>
      <w:r w:rsidR="00A86B57" w:rsidRPr="0080667A">
        <w:rPr>
          <w:sz w:val="21"/>
          <w:szCs w:val="21"/>
          <w:lang w:val="uk-UA"/>
        </w:rPr>
        <w:t xml:space="preserve"> </w:t>
      </w:r>
      <w:r w:rsidRPr="0080667A">
        <w:rPr>
          <w:sz w:val="21"/>
          <w:szCs w:val="21"/>
          <w:lang w:val="uk-UA"/>
        </w:rPr>
        <w:t>П</w:t>
      </w:r>
      <w:r w:rsidR="000C0FE8" w:rsidRPr="0080667A">
        <w:rPr>
          <w:sz w:val="21"/>
          <w:szCs w:val="21"/>
          <w:lang w:val="uk-UA"/>
        </w:rPr>
        <w:t>р</w:t>
      </w:r>
      <w:r w:rsidRPr="0080667A">
        <w:rPr>
          <w:sz w:val="21"/>
          <w:szCs w:val="21"/>
          <w:lang w:val="uk-UA"/>
        </w:rPr>
        <w:t>АТ «</w:t>
      </w:r>
      <w:r w:rsidR="00F56D63" w:rsidRPr="0080667A">
        <w:rPr>
          <w:sz w:val="21"/>
          <w:szCs w:val="21"/>
          <w:lang w:val="uk-UA"/>
        </w:rPr>
        <w:t xml:space="preserve">БУДІВЕЛЬНИЙ ТОРГОВИЙ БУДИНОК </w:t>
      </w:r>
      <w:r w:rsidRPr="0080667A">
        <w:rPr>
          <w:sz w:val="21"/>
          <w:szCs w:val="21"/>
          <w:lang w:val="uk-UA"/>
        </w:rPr>
        <w:t xml:space="preserve">», кабінет </w:t>
      </w:r>
      <w:r w:rsidR="006F4AB7" w:rsidRPr="0080667A">
        <w:rPr>
          <w:sz w:val="21"/>
          <w:szCs w:val="21"/>
          <w:lang w:val="uk-UA"/>
        </w:rPr>
        <w:t xml:space="preserve">Голови </w:t>
      </w:r>
      <w:r w:rsidR="00A86B57" w:rsidRPr="0080667A">
        <w:rPr>
          <w:sz w:val="21"/>
          <w:szCs w:val="21"/>
          <w:lang w:val="uk-UA"/>
        </w:rPr>
        <w:t>П</w:t>
      </w:r>
      <w:r w:rsidR="006F4AB7" w:rsidRPr="0080667A">
        <w:rPr>
          <w:sz w:val="21"/>
          <w:szCs w:val="21"/>
          <w:lang w:val="uk-UA"/>
        </w:rPr>
        <w:t>равління</w:t>
      </w:r>
      <w:r w:rsidRPr="0080667A">
        <w:rPr>
          <w:sz w:val="21"/>
          <w:szCs w:val="21"/>
          <w:lang w:val="uk-UA"/>
        </w:rPr>
        <w:t>.</w:t>
      </w:r>
    </w:p>
    <w:p w:rsidR="000C4CB7" w:rsidRDefault="000C4CB7" w:rsidP="000C4CB7">
      <w:pPr>
        <w:ind w:firstLine="426"/>
        <w:rPr>
          <w:rFonts w:ascii="Arial Narrow" w:hAnsi="Arial Narrow"/>
          <w:b/>
          <w:sz w:val="20"/>
          <w:szCs w:val="20"/>
          <w:lang w:val="uk-UA"/>
        </w:rPr>
      </w:pPr>
    </w:p>
    <w:p w:rsidR="000C4CB7" w:rsidRPr="000C4CB7" w:rsidRDefault="000C4CB7" w:rsidP="00C27D3B">
      <w:pPr>
        <w:ind w:firstLine="567"/>
        <w:jc w:val="center"/>
        <w:rPr>
          <w:b/>
          <w:sz w:val="21"/>
          <w:szCs w:val="21"/>
          <w:lang w:val="uk-UA"/>
        </w:rPr>
      </w:pPr>
      <w:r w:rsidRPr="00C27D3B">
        <w:rPr>
          <w:b/>
          <w:sz w:val="21"/>
          <w:szCs w:val="21"/>
          <w:lang w:val="uk-UA"/>
        </w:rPr>
        <w:t>ПЕРЕЛІК ПИТАНЬ, ВКЛЮЧЕНИХ ДО ПРОЕКТУ ПОРЯДКУ ДЕННОГО:</w:t>
      </w:r>
    </w:p>
    <w:p w:rsidR="000C0FE8" w:rsidRPr="0080667A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>Обрання лічильної комісії загальних зборів акціонерів ПрАТ «БУДІВЕЛЬНИЙ ТОРГОВИЙ БУДИНОК».</w:t>
      </w:r>
    </w:p>
    <w:p w:rsidR="000C0FE8" w:rsidRPr="0080667A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>Обрання голови та секретаря загальних зборів акціонерів ПрАТ «БУДІВЕЛЬНИЙ ТОРГОВИЙ БУДИНОК».</w:t>
      </w:r>
    </w:p>
    <w:p w:rsidR="000C0FE8" w:rsidRPr="0080667A" w:rsidRDefault="000C0FE8" w:rsidP="000C4CB7">
      <w:pPr>
        <w:pStyle w:val="a5"/>
        <w:numPr>
          <w:ilvl w:val="0"/>
          <w:numId w:val="2"/>
        </w:numPr>
        <w:ind w:left="567" w:hanging="436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>Затвердження регламенту</w:t>
      </w:r>
      <w:r w:rsidR="001B67A2" w:rsidRPr="0080667A">
        <w:rPr>
          <w:sz w:val="20"/>
          <w:szCs w:val="20"/>
          <w:shd w:val="clear" w:color="auto" w:fill="FFFFFF"/>
          <w:lang w:val="uk-UA"/>
        </w:rPr>
        <w:t xml:space="preserve"> (порядку)</w:t>
      </w:r>
      <w:r w:rsidRPr="0080667A">
        <w:rPr>
          <w:sz w:val="20"/>
          <w:szCs w:val="20"/>
          <w:shd w:val="clear" w:color="auto" w:fill="FFFFFF"/>
          <w:lang w:val="uk-UA"/>
        </w:rPr>
        <w:t xml:space="preserve"> проведення Загальних зборів Товариства та</w:t>
      </w:r>
      <w:r w:rsidRPr="0080667A">
        <w:rPr>
          <w:rStyle w:val="apple-converted-space"/>
          <w:sz w:val="20"/>
          <w:szCs w:val="20"/>
          <w:shd w:val="clear" w:color="auto" w:fill="FFFFFF"/>
          <w:lang w:val="uk-UA"/>
        </w:rPr>
        <w:t> </w:t>
      </w:r>
      <w:r w:rsidRPr="0080667A">
        <w:rPr>
          <w:sz w:val="20"/>
          <w:szCs w:val="20"/>
          <w:shd w:val="clear" w:color="auto" w:fill="FFFFFF"/>
          <w:lang w:val="uk-UA"/>
        </w:rPr>
        <w:t>процедури голосування щодо питань порядку денного.</w:t>
      </w:r>
    </w:p>
    <w:p w:rsidR="000C0FE8" w:rsidRPr="0080667A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 xml:space="preserve"> Звіт Правління </w:t>
      </w:r>
      <w:r w:rsidR="0080667A" w:rsidRPr="0080667A">
        <w:rPr>
          <w:sz w:val="20"/>
          <w:szCs w:val="20"/>
          <w:shd w:val="clear" w:color="auto" w:fill="FFFFFF"/>
          <w:lang w:val="uk-UA"/>
        </w:rPr>
        <w:t>ПрАТ «БУДІВЕЛЬНИЙ ТОРГОВИЙ БУДИНОК»</w:t>
      </w:r>
      <w:r w:rsidRPr="0080667A">
        <w:rPr>
          <w:sz w:val="20"/>
          <w:szCs w:val="20"/>
          <w:shd w:val="clear" w:color="auto" w:fill="FFFFFF"/>
          <w:lang w:val="uk-UA"/>
        </w:rPr>
        <w:t xml:space="preserve"> про підсумки фінансово-господарської діяльності за 201</w:t>
      </w:r>
      <w:r w:rsidR="001B67A2" w:rsidRPr="0080667A">
        <w:rPr>
          <w:sz w:val="20"/>
          <w:szCs w:val="20"/>
          <w:shd w:val="clear" w:color="auto" w:fill="FFFFFF"/>
          <w:lang w:val="uk-UA"/>
        </w:rPr>
        <w:t>6</w:t>
      </w:r>
      <w:r w:rsidRPr="0080667A">
        <w:rPr>
          <w:sz w:val="20"/>
          <w:szCs w:val="20"/>
          <w:shd w:val="clear" w:color="auto" w:fill="FFFFFF"/>
          <w:lang w:val="uk-UA"/>
        </w:rPr>
        <w:t xml:space="preserve"> рік та прийняття рішення за наслідками його розгляду.</w:t>
      </w:r>
    </w:p>
    <w:p w:rsidR="001B67A2" w:rsidRPr="0080667A" w:rsidRDefault="001B67A2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lang w:val="uk-UA"/>
        </w:rPr>
        <w:t xml:space="preserve">Звіт Наглядової ради </w:t>
      </w:r>
      <w:r w:rsidRPr="0080667A">
        <w:rPr>
          <w:sz w:val="20"/>
          <w:szCs w:val="20"/>
          <w:shd w:val="clear" w:color="auto" w:fill="FFFFFF"/>
          <w:lang w:val="uk-UA"/>
        </w:rPr>
        <w:t>ПрАТ «БУДІВЕЛЬНИЙ ТОРГОВИЙ БУДИНОК»</w:t>
      </w:r>
      <w:r w:rsidRPr="0080667A">
        <w:rPr>
          <w:sz w:val="20"/>
          <w:szCs w:val="20"/>
          <w:lang w:val="uk-UA"/>
        </w:rPr>
        <w:t xml:space="preserve"> за 2016р. та прийняття рішення за наслідками </w:t>
      </w:r>
      <w:r w:rsidRPr="0080667A">
        <w:rPr>
          <w:sz w:val="20"/>
          <w:szCs w:val="20"/>
          <w:shd w:val="clear" w:color="auto" w:fill="FFFFFF"/>
          <w:lang w:val="uk-UA"/>
        </w:rPr>
        <w:t>його розгляду.</w:t>
      </w:r>
    </w:p>
    <w:p w:rsidR="000C0FE8" w:rsidRPr="0080667A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 xml:space="preserve"> Затвердження аудиторського висновку ПрАТ «БУДІВЕЛЬНИЙ ТОРГОВИЙ БУДИНОК» за 201</w:t>
      </w:r>
      <w:r w:rsidR="001B67A2" w:rsidRPr="0080667A">
        <w:rPr>
          <w:sz w:val="20"/>
          <w:szCs w:val="20"/>
          <w:shd w:val="clear" w:color="auto" w:fill="FFFFFF"/>
          <w:lang w:val="uk-UA"/>
        </w:rPr>
        <w:t>6</w:t>
      </w:r>
      <w:r w:rsidRPr="0080667A">
        <w:rPr>
          <w:sz w:val="20"/>
          <w:szCs w:val="20"/>
          <w:shd w:val="clear" w:color="auto" w:fill="FFFFFF"/>
          <w:lang w:val="uk-UA"/>
        </w:rPr>
        <w:t xml:space="preserve"> рік.</w:t>
      </w:r>
    </w:p>
    <w:p w:rsidR="000C0FE8" w:rsidRPr="0080667A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rStyle w:val="apple-converted-space"/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 xml:space="preserve"> Затвердження річного балансу та звіту ПрАТ «БУДІВЕЛЬНИЙ ТОРГОВИЙ БУДИНОК»» за 201</w:t>
      </w:r>
      <w:r w:rsidR="001B67A2" w:rsidRPr="0080667A">
        <w:rPr>
          <w:sz w:val="20"/>
          <w:szCs w:val="20"/>
          <w:shd w:val="clear" w:color="auto" w:fill="FFFFFF"/>
          <w:lang w:val="uk-UA"/>
        </w:rPr>
        <w:t>6</w:t>
      </w:r>
      <w:r w:rsidRPr="0080667A">
        <w:rPr>
          <w:sz w:val="20"/>
          <w:szCs w:val="20"/>
          <w:shd w:val="clear" w:color="auto" w:fill="FFFFFF"/>
          <w:lang w:val="uk-UA"/>
        </w:rPr>
        <w:t xml:space="preserve"> рік.</w:t>
      </w:r>
      <w:r w:rsidRPr="0080667A">
        <w:rPr>
          <w:rStyle w:val="apple-converted-space"/>
          <w:sz w:val="20"/>
          <w:szCs w:val="20"/>
          <w:shd w:val="clear" w:color="auto" w:fill="FFFFFF"/>
          <w:lang w:val="uk-UA"/>
        </w:rPr>
        <w:t> </w:t>
      </w:r>
    </w:p>
    <w:p w:rsidR="000C0FE8" w:rsidRPr="0080667A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>Про порядок розподілу прибутку</w:t>
      </w:r>
      <w:r w:rsidR="001B67A2" w:rsidRPr="0080667A">
        <w:rPr>
          <w:sz w:val="20"/>
          <w:szCs w:val="20"/>
          <w:shd w:val="clear" w:color="auto" w:fill="FFFFFF"/>
          <w:lang w:val="uk-UA"/>
        </w:rPr>
        <w:t xml:space="preserve"> та збитків</w:t>
      </w:r>
      <w:r w:rsidRPr="0080667A">
        <w:rPr>
          <w:sz w:val="20"/>
          <w:szCs w:val="20"/>
          <w:shd w:val="clear" w:color="auto" w:fill="FFFFFF"/>
          <w:lang w:val="uk-UA"/>
        </w:rPr>
        <w:t xml:space="preserve"> за 201</w:t>
      </w:r>
      <w:r w:rsidR="001B67A2" w:rsidRPr="0080667A">
        <w:rPr>
          <w:sz w:val="20"/>
          <w:szCs w:val="20"/>
          <w:shd w:val="clear" w:color="auto" w:fill="FFFFFF"/>
          <w:lang w:val="uk-UA"/>
        </w:rPr>
        <w:t>6</w:t>
      </w:r>
      <w:r w:rsidRPr="0080667A">
        <w:rPr>
          <w:sz w:val="20"/>
          <w:szCs w:val="20"/>
          <w:shd w:val="clear" w:color="auto" w:fill="FFFFFF"/>
          <w:lang w:val="uk-UA"/>
        </w:rPr>
        <w:t xml:space="preserve"> рік.</w:t>
      </w:r>
    </w:p>
    <w:p w:rsidR="000C0FE8" w:rsidRPr="0080667A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shd w:val="clear" w:color="auto" w:fill="FFFFFF"/>
          <w:lang w:val="uk-UA"/>
        </w:rPr>
        <w:t xml:space="preserve"> Про визначення основних напрямків діяльності ПрАТ «БУДІВЕЛЬНИЙ ТОРГОВИЙ БУДИНОК» на 201</w:t>
      </w:r>
      <w:r w:rsidR="001B67A2" w:rsidRPr="0080667A">
        <w:rPr>
          <w:sz w:val="20"/>
          <w:szCs w:val="20"/>
          <w:shd w:val="clear" w:color="auto" w:fill="FFFFFF"/>
          <w:lang w:val="uk-UA"/>
        </w:rPr>
        <w:t>7</w:t>
      </w:r>
      <w:r w:rsidRPr="0080667A">
        <w:rPr>
          <w:sz w:val="20"/>
          <w:szCs w:val="20"/>
          <w:shd w:val="clear" w:color="auto" w:fill="FFFFFF"/>
          <w:lang w:val="uk-UA"/>
        </w:rPr>
        <w:t xml:space="preserve"> рік.</w:t>
      </w:r>
    </w:p>
    <w:p w:rsidR="005100D9" w:rsidRPr="0080667A" w:rsidRDefault="005100D9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color w:val="000000"/>
          <w:sz w:val="20"/>
          <w:szCs w:val="20"/>
          <w:lang w:val="uk-UA"/>
        </w:rPr>
        <w:t>Затвердження зміни назви місцезнаходження юридичної особи в зв'язку з перейменуванням вулиці.</w:t>
      </w:r>
    </w:p>
    <w:p w:rsidR="001B67A2" w:rsidRPr="0080667A" w:rsidRDefault="001B67A2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shd w:val="clear" w:color="auto" w:fill="FFFFFF"/>
          <w:lang w:val="uk-UA"/>
        </w:rPr>
      </w:pPr>
      <w:r w:rsidRPr="0080667A">
        <w:rPr>
          <w:sz w:val="20"/>
          <w:szCs w:val="20"/>
          <w:lang w:val="uk-UA"/>
        </w:rPr>
        <w:t xml:space="preserve">Зміна та уточнення інформації яка містяться в  відомостях Єдиного державного реєстру юридичних осіб, фізичних осіб-підприємців та громадських формувань. </w:t>
      </w:r>
    </w:p>
    <w:p w:rsidR="001B67A2" w:rsidRPr="0080667A" w:rsidRDefault="005F2EF3" w:rsidP="001B67A2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lang w:val="uk-UA"/>
        </w:rPr>
      </w:pPr>
      <w:r w:rsidRPr="00F85004">
        <w:rPr>
          <w:sz w:val="20"/>
          <w:szCs w:val="20"/>
          <w:shd w:val="clear" w:color="auto" w:fill="FFFFFF"/>
          <w:lang w:val="uk-UA"/>
        </w:rPr>
        <w:t>Про</w:t>
      </w:r>
      <w:r w:rsidR="005100D9" w:rsidRPr="0080667A">
        <w:rPr>
          <w:sz w:val="20"/>
          <w:szCs w:val="20"/>
          <w:shd w:val="clear" w:color="auto" w:fill="FFFFFF"/>
          <w:lang w:val="uk-UA"/>
        </w:rPr>
        <w:t xml:space="preserve"> затвердження Статуту Товариства в новій редакції.</w:t>
      </w:r>
    </w:p>
    <w:p w:rsidR="001B67A2" w:rsidRPr="0080667A" w:rsidRDefault="000C0FE8" w:rsidP="001B67A2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lang w:val="uk-UA"/>
        </w:rPr>
      </w:pPr>
      <w:r w:rsidRPr="0080667A">
        <w:rPr>
          <w:sz w:val="20"/>
          <w:szCs w:val="20"/>
          <w:lang w:val="uk-UA"/>
        </w:rPr>
        <w:t>Про узгодження договорів стосовно господарської діяльності ПрАТ «БУДІВЕЛЬНИЙ ТОРГОВИЙ БУДИНОК».</w:t>
      </w:r>
    </w:p>
    <w:p w:rsidR="001B67A2" w:rsidRPr="0080667A" w:rsidRDefault="001B67A2" w:rsidP="001B67A2">
      <w:pPr>
        <w:pStyle w:val="a5"/>
        <w:numPr>
          <w:ilvl w:val="0"/>
          <w:numId w:val="2"/>
        </w:numPr>
        <w:ind w:left="567" w:hanging="436"/>
        <w:jc w:val="both"/>
        <w:rPr>
          <w:sz w:val="20"/>
          <w:szCs w:val="20"/>
          <w:lang w:val="uk-UA"/>
        </w:rPr>
      </w:pPr>
      <w:r w:rsidRPr="0080667A">
        <w:rPr>
          <w:sz w:val="20"/>
          <w:szCs w:val="20"/>
          <w:lang w:val="uk-UA"/>
        </w:rPr>
        <w:t>Попереднє схвалення значних правочинів, які можуть вчинятися Товариством протягом одного року з дня проведення Загальних зборів акціонерів.</w:t>
      </w:r>
    </w:p>
    <w:p w:rsidR="00834B24" w:rsidRDefault="00834B24" w:rsidP="00834B24">
      <w:pPr>
        <w:ind w:left="360"/>
        <w:jc w:val="center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>Основні показники фінансово-господарської діяльності товариства (тис. грн.):</w:t>
      </w:r>
    </w:p>
    <w:tbl>
      <w:tblPr>
        <w:tblW w:w="1019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3"/>
        <w:gridCol w:w="1777"/>
        <w:gridCol w:w="2003"/>
      </w:tblGrid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Найменування показника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 xml:space="preserve">Звітний </w:t>
            </w:r>
          </w:p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період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Попередній період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Усього активів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74838,4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37571,4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Основні засоби (за залишковою вартістю)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2971,7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3339,0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Довгострокові фінансові інвестиції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9114,4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9114,4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Запаси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48156,9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17276,3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Сумарна дебіторська заборгованість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8456,9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6828,8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Грошові кошти та їх еквіваленти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103,3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56,1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Нерозподілений прибуток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717890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717890">
              <w:rPr>
                <w:sz w:val="21"/>
                <w:szCs w:val="21"/>
                <w:lang w:val="uk-UA"/>
              </w:rPr>
              <w:t>(136295,4)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717890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717890">
              <w:rPr>
                <w:sz w:val="21"/>
                <w:szCs w:val="21"/>
                <w:lang w:val="uk-UA"/>
              </w:rPr>
              <w:t>(132245,7)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Власний капітал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263,4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263,4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Статутний капітал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68,2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68,2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Довгострокові зобов’язання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137,5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99,3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Поточні зобов’язання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210664,7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169386,2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Чистий прибуток (збиток)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(</w:t>
            </w:r>
            <w:r>
              <w:rPr>
                <w:sz w:val="21"/>
                <w:szCs w:val="21"/>
                <w:lang w:val="uk-UA"/>
              </w:rPr>
              <w:t>4049,7</w:t>
            </w:r>
            <w:r w:rsidRPr="0080667A"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(48252,1)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 xml:space="preserve">Середньорічна кількість акцій (шт.)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68150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68150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Кількість власних акцій, викуплених протягом періоду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-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-</w:t>
            </w:r>
          </w:p>
        </w:tc>
      </w:tr>
      <w:tr w:rsidR="00D765AA" w:rsidRPr="0080667A" w:rsidTr="00A61FDD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both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A" w:rsidRPr="0080667A" w:rsidRDefault="00D765AA" w:rsidP="00A61FDD">
            <w:pPr>
              <w:jc w:val="center"/>
              <w:rPr>
                <w:sz w:val="21"/>
                <w:szCs w:val="21"/>
                <w:lang w:val="uk-UA"/>
              </w:rPr>
            </w:pPr>
            <w:r w:rsidRPr="0080667A">
              <w:rPr>
                <w:sz w:val="21"/>
                <w:szCs w:val="21"/>
                <w:lang w:val="uk-UA"/>
              </w:rPr>
              <w:t>19</w:t>
            </w:r>
          </w:p>
        </w:tc>
      </w:tr>
    </w:tbl>
    <w:p w:rsidR="000C4CB7" w:rsidRPr="000C4CB7" w:rsidRDefault="000C4CB7" w:rsidP="000C4CB7">
      <w:pPr>
        <w:jc w:val="both"/>
        <w:rPr>
          <w:sz w:val="21"/>
          <w:szCs w:val="21"/>
          <w:lang w:val="uk-UA"/>
        </w:rPr>
      </w:pPr>
      <w:r w:rsidRPr="000C4CB7">
        <w:rPr>
          <w:sz w:val="21"/>
          <w:szCs w:val="21"/>
          <w:lang w:val="uk-UA"/>
        </w:rPr>
        <w:t xml:space="preserve">         </w:t>
      </w:r>
      <w:r w:rsidRPr="00C27D3B">
        <w:rPr>
          <w:sz w:val="21"/>
          <w:szCs w:val="21"/>
          <w:lang w:val="uk-UA"/>
        </w:rPr>
        <w:t>Примітка: Показники за 2016 рік будуть уточнені на загальних зборах акціонерів.</w:t>
      </w:r>
      <w:r w:rsidRPr="000C4CB7">
        <w:rPr>
          <w:sz w:val="21"/>
          <w:szCs w:val="21"/>
          <w:lang w:val="uk-UA"/>
        </w:rPr>
        <w:tab/>
      </w:r>
    </w:p>
    <w:p w:rsidR="00834B24" w:rsidRPr="0080667A" w:rsidRDefault="00834B24" w:rsidP="00E70379">
      <w:pPr>
        <w:ind w:firstLine="567"/>
        <w:jc w:val="both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>З матеріалами до річних Загальних зборів акціонерів П</w:t>
      </w:r>
      <w:r w:rsidR="000C0FE8" w:rsidRPr="0080667A">
        <w:rPr>
          <w:sz w:val="21"/>
          <w:szCs w:val="21"/>
          <w:lang w:val="uk-UA"/>
        </w:rPr>
        <w:t>р</w:t>
      </w:r>
      <w:r w:rsidRPr="0080667A">
        <w:rPr>
          <w:sz w:val="21"/>
          <w:szCs w:val="21"/>
          <w:lang w:val="uk-UA"/>
        </w:rPr>
        <w:t>АТ «</w:t>
      </w:r>
      <w:r w:rsidR="00F56D63" w:rsidRPr="0080667A">
        <w:rPr>
          <w:sz w:val="21"/>
          <w:szCs w:val="21"/>
          <w:lang w:val="uk-UA"/>
        </w:rPr>
        <w:t>БУДІВЕЛЬНИЙ ТОРГОВИЙ БУДИНОК</w:t>
      </w:r>
      <w:r w:rsidRPr="0080667A">
        <w:rPr>
          <w:sz w:val="21"/>
          <w:szCs w:val="21"/>
          <w:lang w:val="uk-UA"/>
        </w:rPr>
        <w:t xml:space="preserve">» можна </w:t>
      </w:r>
      <w:r w:rsidR="00267F13">
        <w:rPr>
          <w:sz w:val="21"/>
          <w:szCs w:val="21"/>
          <w:lang w:val="uk-UA"/>
        </w:rPr>
        <w:t>о</w:t>
      </w:r>
      <w:r w:rsidRPr="0080667A">
        <w:rPr>
          <w:sz w:val="21"/>
          <w:szCs w:val="21"/>
          <w:lang w:val="uk-UA"/>
        </w:rPr>
        <w:t xml:space="preserve">знайомитися за адресою:  </w:t>
      </w:r>
      <w:r w:rsidR="008255F3" w:rsidRPr="0080667A">
        <w:rPr>
          <w:sz w:val="21"/>
          <w:szCs w:val="21"/>
          <w:lang w:val="uk-UA"/>
        </w:rPr>
        <w:t>м. Харків, вул. Другої  П’ятирічки</w:t>
      </w:r>
      <w:r w:rsidR="00267F13">
        <w:rPr>
          <w:sz w:val="21"/>
          <w:szCs w:val="21"/>
          <w:lang w:val="uk-UA"/>
        </w:rPr>
        <w:t xml:space="preserve"> </w:t>
      </w:r>
      <w:r w:rsidR="00267F13" w:rsidRPr="0080667A">
        <w:rPr>
          <w:sz w:val="21"/>
          <w:szCs w:val="21"/>
          <w:lang w:val="uk-UA"/>
        </w:rPr>
        <w:t>(нова назва вул. Біблика)</w:t>
      </w:r>
      <w:r w:rsidR="008255F3" w:rsidRPr="0080667A">
        <w:rPr>
          <w:sz w:val="21"/>
          <w:szCs w:val="21"/>
          <w:lang w:val="uk-UA"/>
        </w:rPr>
        <w:t xml:space="preserve"> буд. 18</w:t>
      </w:r>
      <w:r w:rsidRPr="0080667A">
        <w:rPr>
          <w:sz w:val="21"/>
          <w:szCs w:val="21"/>
          <w:lang w:val="uk-UA"/>
        </w:rPr>
        <w:t>, ПРАТ «</w:t>
      </w:r>
      <w:r w:rsidR="00F56D63" w:rsidRPr="0080667A">
        <w:rPr>
          <w:sz w:val="21"/>
          <w:szCs w:val="21"/>
          <w:lang w:val="uk-UA"/>
        </w:rPr>
        <w:t>БУДІВЕЛЬНИЙ ТОРГОВИЙ БУДИНОК</w:t>
      </w:r>
      <w:r w:rsidRPr="0080667A">
        <w:rPr>
          <w:sz w:val="21"/>
          <w:szCs w:val="21"/>
          <w:lang w:val="uk-UA"/>
        </w:rPr>
        <w:t xml:space="preserve">», кабінет </w:t>
      </w:r>
      <w:r w:rsidR="006F4AB7" w:rsidRPr="0080667A">
        <w:rPr>
          <w:sz w:val="21"/>
          <w:szCs w:val="21"/>
          <w:lang w:val="uk-UA"/>
        </w:rPr>
        <w:t>Голови правління</w:t>
      </w:r>
      <w:r w:rsidRPr="0080667A">
        <w:rPr>
          <w:sz w:val="21"/>
          <w:szCs w:val="21"/>
          <w:lang w:val="uk-UA"/>
        </w:rPr>
        <w:t>.</w:t>
      </w:r>
    </w:p>
    <w:p w:rsidR="00834B24" w:rsidRPr="0080667A" w:rsidRDefault="00834B24" w:rsidP="00834B24">
      <w:pPr>
        <w:ind w:right="99" w:firstLine="540"/>
        <w:jc w:val="both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>Для ознайомлення з матеріалами до річних Загальних зборів акціонерів особа повинна мати документ, що посвідчує її особу, та документ, підтверджуючий, що вона є акціонером П</w:t>
      </w:r>
      <w:r w:rsidR="000C0FE8" w:rsidRPr="0080667A">
        <w:rPr>
          <w:sz w:val="21"/>
          <w:szCs w:val="21"/>
          <w:lang w:val="uk-UA"/>
        </w:rPr>
        <w:t>р</w:t>
      </w:r>
      <w:r w:rsidRPr="0080667A">
        <w:rPr>
          <w:sz w:val="21"/>
          <w:szCs w:val="21"/>
          <w:lang w:val="uk-UA"/>
        </w:rPr>
        <w:t>АТ «</w:t>
      </w:r>
      <w:r w:rsidR="00F56D63" w:rsidRPr="0080667A">
        <w:rPr>
          <w:sz w:val="21"/>
          <w:szCs w:val="21"/>
          <w:lang w:val="uk-UA"/>
        </w:rPr>
        <w:t xml:space="preserve">БУДІВЕЛЬНИЙ ТОРГОВИЙ БУДИНОК </w:t>
      </w:r>
      <w:r w:rsidRPr="0080667A">
        <w:rPr>
          <w:sz w:val="21"/>
          <w:szCs w:val="21"/>
          <w:lang w:val="uk-UA"/>
        </w:rPr>
        <w:t>».</w:t>
      </w:r>
    </w:p>
    <w:p w:rsidR="00834B24" w:rsidRPr="0080667A" w:rsidRDefault="00834B24" w:rsidP="00834B24">
      <w:pPr>
        <w:ind w:right="99" w:firstLine="540"/>
        <w:jc w:val="both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 xml:space="preserve">Реєстрація учасників загальних зборів акціонерів відбудеться </w:t>
      </w:r>
      <w:r w:rsidR="00A86B57" w:rsidRPr="0080667A">
        <w:rPr>
          <w:sz w:val="21"/>
          <w:szCs w:val="21"/>
          <w:lang w:val="uk-UA"/>
        </w:rPr>
        <w:t xml:space="preserve"> 2</w:t>
      </w:r>
      <w:r w:rsidR="007E57AC" w:rsidRPr="0080667A">
        <w:rPr>
          <w:sz w:val="21"/>
          <w:szCs w:val="21"/>
          <w:lang w:val="uk-UA"/>
        </w:rPr>
        <w:t>6</w:t>
      </w:r>
      <w:r w:rsidR="00F56D63" w:rsidRPr="0080667A">
        <w:rPr>
          <w:sz w:val="21"/>
          <w:szCs w:val="21"/>
          <w:lang w:val="uk-UA"/>
        </w:rPr>
        <w:t>.04.201</w:t>
      </w:r>
      <w:r w:rsidR="00D765AA">
        <w:rPr>
          <w:sz w:val="21"/>
          <w:szCs w:val="21"/>
          <w:lang w:val="uk-UA"/>
        </w:rPr>
        <w:t>7</w:t>
      </w:r>
      <w:r w:rsidRPr="0080667A">
        <w:rPr>
          <w:sz w:val="21"/>
          <w:szCs w:val="21"/>
          <w:lang w:val="uk-UA"/>
        </w:rPr>
        <w:t xml:space="preserve"> року з 10 год. 00 хв. до 10 год. 50 хв. у день скликання загальних зборів за місцем їх проведення.</w:t>
      </w:r>
    </w:p>
    <w:p w:rsidR="00D86EEB" w:rsidRPr="0080667A" w:rsidRDefault="00834B24" w:rsidP="000C0FE8">
      <w:pPr>
        <w:ind w:firstLine="540"/>
        <w:jc w:val="both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>Реєстрація учасників річних Загальних зборів акціонерів буде проводитися на підставі переліку акціонерів, складеного у відповідності до зведеного облікового реєстру власників цінних паперів – простих іменних акцій за емітентом ПРАТ «</w:t>
      </w:r>
      <w:r w:rsidR="006F4AB7" w:rsidRPr="0080667A">
        <w:rPr>
          <w:sz w:val="21"/>
          <w:szCs w:val="21"/>
          <w:lang w:val="uk-UA"/>
        </w:rPr>
        <w:t>БУДІВЕЛЬНИЙ ТОРГОВИЙ БУДИНОК</w:t>
      </w:r>
      <w:r w:rsidRPr="0080667A">
        <w:rPr>
          <w:sz w:val="21"/>
          <w:szCs w:val="21"/>
          <w:lang w:val="uk-UA"/>
        </w:rPr>
        <w:t xml:space="preserve">», складеного депозитарієм ПАТ «Національний депозитарій України» станом на </w:t>
      </w:r>
      <w:r w:rsidR="00A86B57" w:rsidRPr="0080667A">
        <w:rPr>
          <w:sz w:val="21"/>
          <w:szCs w:val="21"/>
          <w:lang w:val="uk-UA"/>
        </w:rPr>
        <w:t>2</w:t>
      </w:r>
      <w:r w:rsidR="007E57AC" w:rsidRPr="0080667A">
        <w:rPr>
          <w:sz w:val="21"/>
          <w:szCs w:val="21"/>
          <w:lang w:val="uk-UA"/>
        </w:rPr>
        <w:t>0</w:t>
      </w:r>
      <w:r w:rsidR="009B638A" w:rsidRPr="0080667A">
        <w:rPr>
          <w:sz w:val="21"/>
          <w:szCs w:val="21"/>
          <w:lang w:val="uk-UA"/>
        </w:rPr>
        <w:t>.04.201</w:t>
      </w:r>
      <w:r w:rsidR="00D765AA">
        <w:rPr>
          <w:sz w:val="21"/>
          <w:szCs w:val="21"/>
          <w:lang w:val="uk-UA"/>
        </w:rPr>
        <w:t>7</w:t>
      </w:r>
      <w:r w:rsidRPr="0080667A">
        <w:rPr>
          <w:sz w:val="21"/>
          <w:szCs w:val="21"/>
          <w:lang w:val="uk-UA"/>
        </w:rPr>
        <w:t xml:space="preserve"> року (станом на 24 годину за три робочих дні до дня проведення зборів).</w:t>
      </w:r>
    </w:p>
    <w:p w:rsidR="00834B24" w:rsidRPr="0080667A" w:rsidRDefault="00834B24" w:rsidP="000C0FE8">
      <w:pPr>
        <w:ind w:firstLine="708"/>
        <w:jc w:val="both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>Реєстрація акціонерів або їх представників, які приймають участь у річних Загальних зборах акціонерів ПРАТ «</w:t>
      </w:r>
      <w:r w:rsidR="006F4AB7" w:rsidRPr="0080667A">
        <w:rPr>
          <w:sz w:val="21"/>
          <w:szCs w:val="21"/>
          <w:lang w:val="uk-UA"/>
        </w:rPr>
        <w:t>БУДІВЕЛЬНИЙ ТОРГОВИЙ БУДИНОК</w:t>
      </w:r>
      <w:r w:rsidRPr="0080667A">
        <w:rPr>
          <w:sz w:val="21"/>
          <w:szCs w:val="21"/>
          <w:lang w:val="uk-UA"/>
        </w:rPr>
        <w:t>», здійснюється на підставі документів, що посвідчують їх особу та повноваження на участь у річних Загальних зборах акціонерів.</w:t>
      </w:r>
    </w:p>
    <w:p w:rsidR="001E04A6" w:rsidRPr="001E04A6" w:rsidRDefault="007E57AC" w:rsidP="001E04A6">
      <w:pPr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val="uk-UA" w:eastAsia="uk-UA"/>
        </w:rPr>
      </w:pPr>
      <w:r w:rsidRPr="00404592">
        <w:rPr>
          <w:sz w:val="21"/>
          <w:szCs w:val="21"/>
          <w:lang w:val="uk-UA"/>
        </w:rPr>
        <w:t>Адреса сторінки в мережі Інтернет, яка додатково використовується емітентом для розкриття інформації</w:t>
      </w:r>
      <w:r w:rsidRPr="0080667A">
        <w:rPr>
          <w:noProof/>
          <w:lang w:val="uk-UA"/>
        </w:rPr>
        <w:t>:</w:t>
      </w:r>
      <w:r w:rsidRPr="0080667A">
        <w:rPr>
          <w:color w:val="0000FF"/>
          <w:sz w:val="22"/>
          <w:szCs w:val="22"/>
          <w:lang w:val="uk-UA"/>
        </w:rPr>
        <w:t xml:space="preserve"> </w:t>
      </w:r>
      <w:hyperlink r:id="rId7" w:history="1">
        <w:r w:rsidR="001E04A6" w:rsidRPr="001E04A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http://pratstd.pat.ua</w:t>
        </w:r>
      </w:hyperlink>
    </w:p>
    <w:p w:rsidR="008F6203" w:rsidRPr="0080667A" w:rsidRDefault="008F6203" w:rsidP="001E04A6">
      <w:pPr>
        <w:ind w:firstLine="708"/>
        <w:jc w:val="both"/>
        <w:rPr>
          <w:sz w:val="21"/>
          <w:szCs w:val="21"/>
          <w:lang w:val="uk-UA"/>
        </w:rPr>
      </w:pPr>
    </w:p>
    <w:p w:rsidR="002868C6" w:rsidRDefault="006F4AB7" w:rsidP="00834B24">
      <w:pPr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>Телефон для довідок: 057-</w:t>
      </w:r>
      <w:r w:rsidR="008255F3" w:rsidRPr="0080667A">
        <w:rPr>
          <w:sz w:val="21"/>
          <w:szCs w:val="21"/>
          <w:lang w:val="uk-UA"/>
        </w:rPr>
        <w:t>719-89-79</w:t>
      </w:r>
      <w:r w:rsidR="00834B24" w:rsidRPr="0080667A">
        <w:rPr>
          <w:sz w:val="21"/>
          <w:szCs w:val="21"/>
          <w:lang w:val="uk-UA"/>
        </w:rPr>
        <w:tab/>
      </w:r>
      <w:r w:rsidRPr="0080667A">
        <w:rPr>
          <w:sz w:val="21"/>
          <w:szCs w:val="21"/>
          <w:lang w:val="uk-UA"/>
        </w:rPr>
        <w:t xml:space="preserve">               </w:t>
      </w:r>
      <w:r w:rsidR="000C0FE8" w:rsidRPr="0080667A">
        <w:rPr>
          <w:sz w:val="21"/>
          <w:szCs w:val="21"/>
          <w:lang w:val="uk-UA"/>
        </w:rPr>
        <w:t xml:space="preserve">     Голова правління _________</w:t>
      </w:r>
      <w:r w:rsidRPr="0080667A">
        <w:rPr>
          <w:sz w:val="21"/>
          <w:szCs w:val="21"/>
          <w:lang w:val="uk-UA"/>
        </w:rPr>
        <w:t>___/</w:t>
      </w:r>
      <w:r w:rsidR="000C0FE8" w:rsidRPr="0080667A">
        <w:rPr>
          <w:sz w:val="21"/>
          <w:szCs w:val="21"/>
          <w:lang w:val="uk-UA"/>
        </w:rPr>
        <w:t>С.Д. Тішаков</w:t>
      </w:r>
      <w:r w:rsidRPr="0080667A">
        <w:rPr>
          <w:sz w:val="21"/>
          <w:szCs w:val="21"/>
          <w:lang w:val="uk-UA"/>
        </w:rPr>
        <w:t>/</w:t>
      </w:r>
    </w:p>
    <w:p w:rsidR="001E04A6" w:rsidRDefault="001E04A6" w:rsidP="00834B24">
      <w:pPr>
        <w:rPr>
          <w:sz w:val="21"/>
          <w:szCs w:val="21"/>
          <w:lang w:val="uk-UA"/>
        </w:rPr>
      </w:pPr>
    </w:p>
    <w:p w:rsidR="003C28A3" w:rsidRPr="003C28A3" w:rsidRDefault="003C28A3" w:rsidP="003C28A3">
      <w:pPr>
        <w:jc w:val="center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lastRenderedPageBreak/>
        <w:t>Проект рішень щодо кожного з питань, включених до проекту порядку денного загальних зборів акціонерів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711"/>
        <w:gridCol w:w="4750"/>
      </w:tblGrid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Питання проекту порядку денного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Проект рішення</w:t>
            </w:r>
          </w:p>
        </w:tc>
      </w:tr>
      <w:tr w:rsidR="003C28A3" w:rsidRPr="003C28A3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Обрання лічильної комісії загальних зборів акціонерів ПрАТ «БУДІВЕЛЬНИЙ ТОРГОВИЙ БУДИНОК».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Обрати лічильну комісію з 3 осіб, а саме: Голови лічильної комісії та двох членів.</w:t>
            </w:r>
          </w:p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Встановити, що повноваження членів лічильної комісії припиняються після складання та підписання протоколу про підсумки голосування на загальних зборах акціонерів.</w:t>
            </w:r>
          </w:p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Підрахунок голосів по першому питанню порядку денного здійснити тимчасовій лічильній комісії сформованій рішенням Наглядової ради від 10.03.2017 року 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Обрання голови та секретаря загальних зборів акціонерів ПрАТ «БУДІВЕЛЬНИЙ ТОРГОВИЙ БУДИНОК»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Обрати Головою Загальних зборів – </w:t>
            </w:r>
            <w:r w:rsidRPr="0080667A">
              <w:rPr>
                <w:i/>
                <w:sz w:val="20"/>
                <w:szCs w:val="20"/>
                <w:lang w:val="uk-UA"/>
              </w:rPr>
              <w:t>Фоміна В.Т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, Серетарем – Калініну Ю.В.</w:t>
            </w:r>
          </w:p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Затвердження регламенту (порядку) проведення Загальних зборів Товариства та</w:t>
            </w:r>
            <w:r w:rsidRPr="0080667A">
              <w:rPr>
                <w:rStyle w:val="apple-converted-space"/>
                <w:b/>
                <w:sz w:val="20"/>
                <w:szCs w:val="20"/>
                <w:shd w:val="clear" w:color="auto" w:fill="FFFFFF"/>
                <w:lang w:val="uk-UA"/>
              </w:rPr>
              <w:t> </w:t>
            </w:r>
            <w:r w:rsidRPr="0080667A">
              <w:rPr>
                <w:b/>
                <w:sz w:val="20"/>
                <w:szCs w:val="20"/>
                <w:lang w:val="uk-UA"/>
              </w:rPr>
              <w:br/>
            </w: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процедури голосування щодо питань порядку денного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По всім питанням Порядку денного провести голосування бюлетенями за принципом:</w:t>
            </w:r>
          </w:p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"одна голосуюча акція – один голос" Затвердити – доповідь 5 хвилин, виступ 3 хвилини.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Звіт Правління ПрАТ «БУДІВЕЛЬНИЙ ТОРГОВИЙ БУДИНОК»</w:t>
            </w:r>
            <w:r w:rsidR="00283D31">
              <w:rPr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про підсумки фінансово-господарської діяльності за 2016 рік та прийняття рішення за наслідками його розгляду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sz w:val="20"/>
                <w:szCs w:val="20"/>
                <w:lang w:val="uk-UA"/>
              </w:rPr>
              <w:t xml:space="preserve">Затвердити звіт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Правління Товариства за 2016</w:t>
            </w:r>
            <w:r w:rsidRPr="0080667A">
              <w:rPr>
                <w:b/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рік.</w:t>
            </w:r>
          </w:p>
          <w:p w:rsidR="003C28A3" w:rsidRPr="0080667A" w:rsidRDefault="003C28A3" w:rsidP="008D4F9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Вважати господарську діяльність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ПрАТ «БУДІВЕЛЬНИЙ ТОРГОВИЙ БУДИНОК»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за 2016 рік задовільною.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lang w:val="uk-UA"/>
              </w:rPr>
              <w:t xml:space="preserve">Звіт Наглядової ради </w:t>
            </w: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ПрАТ «БУДІВЕЛЬНИЙ ТОРГОВИЙ БУДИНОК».</w:t>
            </w:r>
            <w:r w:rsidRPr="0080667A">
              <w:rPr>
                <w:b/>
                <w:sz w:val="20"/>
                <w:szCs w:val="20"/>
                <w:lang w:val="uk-UA"/>
              </w:rPr>
              <w:t xml:space="preserve"> за 2016р. та прийняття рішення за наслідками </w:t>
            </w: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його розгляду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3C28A3">
              <w:rPr>
                <w:i/>
                <w:sz w:val="20"/>
                <w:szCs w:val="20"/>
                <w:lang w:val="uk-UA"/>
              </w:rPr>
              <w:t>Затвердити звіт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Наглядової ради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ПрАТ «БУДІВЕЛЬНИЙ ТОРГОВИЙ БУДИНОК»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за 2016 рік.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Затвердження аудиторського висновку ПрАТ «БУДІВЕЛЬНИЙ ТОРГОВИЙ БУДИНОК» за 2016 рік.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sz w:val="20"/>
                <w:szCs w:val="20"/>
                <w:lang w:val="uk-UA"/>
              </w:rPr>
              <w:t xml:space="preserve">Затвердити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аудиторський висновок ПрАТ «БУДІВЕЛЬНИЙ ТОРГОВИЙ БУДИНОК» за 2016 рік</w:t>
            </w:r>
            <w:r>
              <w:rPr>
                <w:i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Затвердження річного балансу та звіту ПрАТ «БУДІВЕЛЬНИЙ ТОРГОВИЙ БУДИНОК» за 2016 рік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Річний баланс та звіт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ПрАТ «БУДІВЕЛЬНИЙ ТОРГОВИЙ БУДИНОК»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за 2016 рік затвердити.</w:t>
            </w:r>
          </w:p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Про порядок розподілу прибутку за 2016 рік</w:t>
            </w:r>
            <w:r w:rsidRPr="0080667A">
              <w:rPr>
                <w:b/>
                <w:sz w:val="20"/>
                <w:szCs w:val="20"/>
                <w:lang w:val="uk-UA"/>
              </w:rPr>
              <w:t>.</w:t>
            </w:r>
          </w:p>
          <w:p w:rsidR="003C28A3" w:rsidRPr="0080667A" w:rsidRDefault="003C28A3" w:rsidP="008D4F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sz w:val="20"/>
                <w:szCs w:val="20"/>
                <w:lang w:val="uk-UA"/>
              </w:rPr>
              <w:t xml:space="preserve">Затвердити неможливість розподілу прибутку 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ПРАТ «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БУДІВЕЛЬНИЙ ТОРГОВИЙ БУДИНОК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»</w:t>
            </w:r>
            <w:r w:rsidRPr="0080667A">
              <w:rPr>
                <w:i/>
                <w:sz w:val="20"/>
                <w:szCs w:val="20"/>
                <w:lang w:val="uk-UA"/>
              </w:rPr>
              <w:t xml:space="preserve"> за 2016 рік, </w:t>
            </w: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дивіденди не нараховувати та не виплачувати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>Про визначення основних напрямків діяльності ПрАТ «БУДІВЕЛЬНИЙ ТОРГОВИЙ БУДИНОК» на 2017 рік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sz w:val="20"/>
                <w:szCs w:val="20"/>
                <w:lang w:val="uk-UA"/>
              </w:rPr>
              <w:t xml:space="preserve">Затвердити основні напрямки діяльності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ПрАТ «БУДІВЕЛЬНИЙ ТОРГОВИЙ БУДИНОК»</w:t>
            </w:r>
            <w:r w:rsidRPr="0080667A">
              <w:rPr>
                <w:i/>
                <w:sz w:val="20"/>
                <w:szCs w:val="20"/>
                <w:lang w:val="uk-UA"/>
              </w:rPr>
              <w:t xml:space="preserve"> на  2017 рік</w:t>
            </w:r>
            <w:r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80667A">
              <w:rPr>
                <w:b/>
                <w:color w:val="000000"/>
                <w:sz w:val="20"/>
                <w:szCs w:val="20"/>
                <w:lang w:val="uk-UA"/>
              </w:rPr>
              <w:t>Затвердження зміни назви місцезнаходження юридичної особи в зв'язку з перейменуванням вулиці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uk-UA"/>
              </w:rPr>
            </w:pPr>
            <w:r w:rsidRPr="0080667A">
              <w:rPr>
                <w:i/>
                <w:color w:val="000000"/>
                <w:sz w:val="20"/>
                <w:szCs w:val="20"/>
                <w:lang w:val="uk-UA"/>
              </w:rPr>
              <w:t xml:space="preserve">Затвердити зміни назви місцезнаходження юридичної особи в зв'язку з перейменуванням вулиці з </w:t>
            </w:r>
            <w:r w:rsidRPr="0080667A">
              <w:rPr>
                <w:i/>
                <w:sz w:val="20"/>
                <w:szCs w:val="20"/>
                <w:lang w:val="uk-UA"/>
              </w:rPr>
              <w:t>вул. «Другої  П’ятирічки буд. 18» на вул. «Біблика буд. 18»</w:t>
            </w:r>
          </w:p>
        </w:tc>
      </w:tr>
      <w:tr w:rsidR="003C28A3" w:rsidRPr="003C28A3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lang w:val="uk-UA"/>
              </w:rPr>
              <w:t xml:space="preserve">Зміна та уточнення інформації </w:t>
            </w:r>
            <w:r w:rsidR="00283D3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0667A">
              <w:rPr>
                <w:b/>
                <w:sz w:val="20"/>
                <w:szCs w:val="20"/>
                <w:lang w:val="uk-UA"/>
              </w:rPr>
              <w:t>яка містяться в  відомостях Єдиного державного реєстру юридичних осіб, фізичних осіб-підприємців та громадських формувань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sz w:val="20"/>
                <w:szCs w:val="20"/>
                <w:lang w:val="uk-UA"/>
              </w:rPr>
              <w:t xml:space="preserve">Дати  згоду та дозвіл  на зміну, уточнення та впорядкування даних які містяться в  відомостях Єдиного державного реєстру юридичних осіб, фізичних осіб-підприємців та громадських формувань відносно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ПрАТ «БУДІВЕЛЬНИЙ ТОРГОВИЙ БУДИНОК»</w:t>
            </w:r>
            <w:r w:rsidRPr="0080667A"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rPr>
                <w:b/>
                <w:sz w:val="20"/>
                <w:szCs w:val="20"/>
                <w:lang w:val="uk-UA"/>
              </w:rPr>
            </w:pPr>
            <w:r w:rsidRPr="00580E8C">
              <w:rPr>
                <w:b/>
                <w:sz w:val="20"/>
                <w:szCs w:val="20"/>
                <w:shd w:val="clear" w:color="auto" w:fill="FFFFFF"/>
                <w:lang w:val="uk-UA"/>
              </w:rPr>
              <w:t>Про</w:t>
            </w:r>
            <w:r w:rsidRPr="0080667A">
              <w:rPr>
                <w:b/>
                <w:sz w:val="20"/>
                <w:szCs w:val="20"/>
                <w:shd w:val="clear" w:color="auto" w:fill="FFFFFF"/>
                <w:lang w:val="uk-UA"/>
              </w:rPr>
              <w:t xml:space="preserve"> затвердження Статуту Товариства в новій редакції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uk-UA"/>
              </w:rPr>
            </w:pP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Затвердити Статут Товариства в новій редакції.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rPr>
                <w:b/>
                <w:color w:val="00335C"/>
                <w:sz w:val="20"/>
                <w:szCs w:val="20"/>
                <w:shd w:val="clear" w:color="auto" w:fill="FFFFFF"/>
                <w:lang w:val="uk-UA"/>
              </w:rPr>
            </w:pPr>
            <w:r w:rsidRPr="0080667A">
              <w:rPr>
                <w:b/>
                <w:sz w:val="20"/>
                <w:szCs w:val="20"/>
                <w:lang w:val="uk-UA"/>
              </w:rPr>
              <w:t>Про узгодження договорів стосовно господарської діяльності ПрАТ «БУДІВЕЛЬНИЙ ТОРГОВИЙ БУДИНОК».</w:t>
            </w: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80667A">
              <w:rPr>
                <w:i/>
                <w:sz w:val="20"/>
                <w:szCs w:val="20"/>
                <w:lang w:val="uk-UA"/>
              </w:rPr>
              <w:t xml:space="preserve">Узгодити та затвердити договори відносно господарської діяльності </w:t>
            </w:r>
            <w:r w:rsidRPr="0080667A">
              <w:rPr>
                <w:i/>
                <w:sz w:val="20"/>
                <w:szCs w:val="20"/>
                <w:shd w:val="clear" w:color="auto" w:fill="FFFFFF"/>
                <w:lang w:val="uk-UA"/>
              </w:rPr>
              <w:t>ПрАТ «БУДІВЕЛЬНИЙ ТОРГОВИЙ БУДИНОК»</w:t>
            </w:r>
          </w:p>
        </w:tc>
      </w:tr>
      <w:tr w:rsidR="003C28A3" w:rsidRPr="0080667A" w:rsidTr="008D4F9B">
        <w:tc>
          <w:tcPr>
            <w:tcW w:w="534" w:type="dxa"/>
          </w:tcPr>
          <w:p w:rsidR="003C28A3" w:rsidRPr="0080667A" w:rsidRDefault="003C28A3" w:rsidP="008D4F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0667A"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4711" w:type="dxa"/>
          </w:tcPr>
          <w:p w:rsidR="003C28A3" w:rsidRPr="0080667A" w:rsidRDefault="003C28A3" w:rsidP="008D4F9B">
            <w:pPr>
              <w:rPr>
                <w:b/>
                <w:sz w:val="20"/>
                <w:szCs w:val="20"/>
                <w:lang w:val="uk-UA"/>
              </w:rPr>
            </w:pPr>
            <w:r w:rsidRPr="0080667A">
              <w:rPr>
                <w:b/>
                <w:sz w:val="20"/>
                <w:szCs w:val="20"/>
                <w:lang w:val="uk-UA"/>
              </w:rPr>
              <w:t>Попереднє схвалення значних правочинів, які можуть вчинятися Товариством протягом одного року з дня проведення Загальних зборів акціонерів.</w:t>
            </w:r>
          </w:p>
          <w:p w:rsidR="003C28A3" w:rsidRPr="0080667A" w:rsidRDefault="003C28A3" w:rsidP="008D4F9B">
            <w:pPr>
              <w:tabs>
                <w:tab w:val="left" w:pos="284"/>
                <w:tab w:val="left" w:pos="6804"/>
                <w:tab w:val="left" w:pos="6912"/>
                <w:tab w:val="left" w:pos="7513"/>
              </w:tabs>
              <w:ind w:right="-284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750" w:type="dxa"/>
          </w:tcPr>
          <w:p w:rsidR="003C28A3" w:rsidRPr="0080667A" w:rsidRDefault="003C28A3" w:rsidP="008D4F9B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  <w:lang w:val="uk-UA"/>
              </w:rPr>
            </w:pPr>
            <w:r w:rsidRPr="0080667A">
              <w:rPr>
                <w:i/>
                <w:iCs/>
                <w:color w:val="000000"/>
                <w:sz w:val="20"/>
                <w:szCs w:val="20"/>
                <w:lang w:val="uk-UA"/>
              </w:rPr>
              <w:t>Попередньо схвалити вчинення Товариством в період з дати проведення даних чергових Загальних зборів акціонерів Товариства по дату проведення наступних чергових Загальних зборів акціонерів Товариства у 2018 році включно.</w:t>
            </w:r>
          </w:p>
        </w:tc>
      </w:tr>
    </w:tbl>
    <w:p w:rsidR="003C28A3" w:rsidRDefault="003C28A3" w:rsidP="003C28A3">
      <w:pPr>
        <w:rPr>
          <w:sz w:val="21"/>
          <w:szCs w:val="21"/>
          <w:lang w:val="uk-UA"/>
        </w:rPr>
      </w:pPr>
    </w:p>
    <w:p w:rsidR="003C28A3" w:rsidRDefault="003C28A3" w:rsidP="003C28A3">
      <w:pPr>
        <w:rPr>
          <w:sz w:val="21"/>
          <w:szCs w:val="21"/>
          <w:lang w:val="uk-UA"/>
        </w:rPr>
      </w:pPr>
    </w:p>
    <w:p w:rsidR="003C28A3" w:rsidRDefault="003C28A3" w:rsidP="003C28A3">
      <w:pPr>
        <w:jc w:val="right"/>
        <w:rPr>
          <w:sz w:val="21"/>
          <w:szCs w:val="21"/>
          <w:lang w:val="uk-UA"/>
        </w:rPr>
      </w:pPr>
      <w:r w:rsidRPr="0080667A">
        <w:rPr>
          <w:sz w:val="21"/>
          <w:szCs w:val="21"/>
          <w:lang w:val="uk-UA"/>
        </w:rPr>
        <w:t>Голова правління ____________/С.Д. Тішаков/</w:t>
      </w:r>
    </w:p>
    <w:p w:rsidR="003C28A3" w:rsidRDefault="003C28A3" w:rsidP="00834B24">
      <w:pPr>
        <w:rPr>
          <w:sz w:val="21"/>
          <w:szCs w:val="21"/>
          <w:lang w:val="uk-UA"/>
        </w:rPr>
      </w:pPr>
    </w:p>
    <w:sectPr w:rsidR="003C28A3" w:rsidSect="006F4AB7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340"/>
    <w:multiLevelType w:val="multilevel"/>
    <w:tmpl w:val="9FC0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E63EB"/>
    <w:multiLevelType w:val="hybridMultilevel"/>
    <w:tmpl w:val="E56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17C3"/>
    <w:multiLevelType w:val="hybridMultilevel"/>
    <w:tmpl w:val="D3621376"/>
    <w:lvl w:ilvl="0" w:tplc="04906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B24"/>
    <w:rsid w:val="00007C17"/>
    <w:rsid w:val="000528E3"/>
    <w:rsid w:val="00075236"/>
    <w:rsid w:val="000B396B"/>
    <w:rsid w:val="000C0FE8"/>
    <w:rsid w:val="000C4CB7"/>
    <w:rsid w:val="00112AED"/>
    <w:rsid w:val="001B67A2"/>
    <w:rsid w:val="001C47E9"/>
    <w:rsid w:val="001C48B6"/>
    <w:rsid w:val="001E04A6"/>
    <w:rsid w:val="001F0CD2"/>
    <w:rsid w:val="00212A74"/>
    <w:rsid w:val="00220DDA"/>
    <w:rsid w:val="00223ABF"/>
    <w:rsid w:val="00267F13"/>
    <w:rsid w:val="00283D31"/>
    <w:rsid w:val="002868C6"/>
    <w:rsid w:val="00295851"/>
    <w:rsid w:val="002E5F75"/>
    <w:rsid w:val="003B03D3"/>
    <w:rsid w:val="003C28A3"/>
    <w:rsid w:val="00404592"/>
    <w:rsid w:val="004413B8"/>
    <w:rsid w:val="00465CAD"/>
    <w:rsid w:val="004D06EF"/>
    <w:rsid w:val="004E6BCA"/>
    <w:rsid w:val="005100D9"/>
    <w:rsid w:val="00525CF6"/>
    <w:rsid w:val="00580E8C"/>
    <w:rsid w:val="005943DA"/>
    <w:rsid w:val="005F2EF3"/>
    <w:rsid w:val="006C1F5F"/>
    <w:rsid w:val="006F4AB7"/>
    <w:rsid w:val="007044A5"/>
    <w:rsid w:val="00707995"/>
    <w:rsid w:val="00717890"/>
    <w:rsid w:val="007457EC"/>
    <w:rsid w:val="007E57AC"/>
    <w:rsid w:val="0080667A"/>
    <w:rsid w:val="008255F3"/>
    <w:rsid w:val="00834B24"/>
    <w:rsid w:val="00895FA8"/>
    <w:rsid w:val="008B3629"/>
    <w:rsid w:val="008C7D82"/>
    <w:rsid w:val="008F6203"/>
    <w:rsid w:val="00902586"/>
    <w:rsid w:val="0091324D"/>
    <w:rsid w:val="009B638A"/>
    <w:rsid w:val="00A86B57"/>
    <w:rsid w:val="00B5043F"/>
    <w:rsid w:val="00C27D3B"/>
    <w:rsid w:val="00C502C6"/>
    <w:rsid w:val="00C64615"/>
    <w:rsid w:val="00C7452D"/>
    <w:rsid w:val="00C84681"/>
    <w:rsid w:val="00D765AA"/>
    <w:rsid w:val="00D86EEB"/>
    <w:rsid w:val="00DE3BDC"/>
    <w:rsid w:val="00DE50C2"/>
    <w:rsid w:val="00E5650B"/>
    <w:rsid w:val="00E70379"/>
    <w:rsid w:val="00E85429"/>
    <w:rsid w:val="00E94759"/>
    <w:rsid w:val="00F13121"/>
    <w:rsid w:val="00F56D63"/>
    <w:rsid w:val="00F8452B"/>
    <w:rsid w:val="00F85004"/>
    <w:rsid w:val="00FA5997"/>
    <w:rsid w:val="00F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B2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4B24"/>
    <w:pPr>
      <w:ind w:left="720"/>
      <w:contextualSpacing/>
    </w:pPr>
  </w:style>
  <w:style w:type="paragraph" w:styleId="a3">
    <w:name w:val="Body Text Indent"/>
    <w:basedOn w:val="a"/>
    <w:link w:val="a4"/>
    <w:rsid w:val="00834B24"/>
    <w:pPr>
      <w:ind w:firstLine="720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834B24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C0FE8"/>
  </w:style>
  <w:style w:type="paragraph" w:styleId="a5">
    <w:name w:val="List Paragraph"/>
    <w:basedOn w:val="a"/>
    <w:uiPriority w:val="34"/>
    <w:qFormat/>
    <w:rsid w:val="000C0FE8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1E04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tstd.pat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D2A8-01C9-4283-8099-58D1EE87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1022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Повідомляємо, що чергові загальні збори акціонерів ПРАТ «БУДІВЕЛЬНИЙ ТОРГОВИЙ БУДИНОК» відбудуться 25</vt:lpstr>
    </vt:vector>
  </TitlesOfParts>
  <Company>megabank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Повідомляємо, що чергові загальні збори акціонерів ПРАТ «БУДІВЕЛЬНИЙ ТОРГОВИЙ БУДИНОК» відбудуться 25</dc:title>
  <dc:subject/>
  <dc:creator>sheptuha</dc:creator>
  <cp:keywords/>
  <cp:lastModifiedBy>Шептуха Тетяна Іванівна</cp:lastModifiedBy>
  <cp:revision>3</cp:revision>
  <cp:lastPrinted>2017-03-21T13:28:00Z</cp:lastPrinted>
  <dcterms:created xsi:type="dcterms:W3CDTF">2017-03-23T09:30:00Z</dcterms:created>
  <dcterms:modified xsi:type="dcterms:W3CDTF">2017-03-23T09:39:00Z</dcterms:modified>
</cp:coreProperties>
</file>